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E" w:rsidRDefault="00785246">
      <w:pPr>
        <w:pStyle w:val="ConsPlusNonforma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ПОЯСНИТЕЛЬНАЯ ЗАПИСКА</w:t>
      </w:r>
    </w:p>
    <w:p w:rsidR="004E129E" w:rsidRDefault="00785246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ведомственной целевой программе</w:t>
      </w:r>
    </w:p>
    <w:p w:rsidR="004E129E" w:rsidRDefault="00785246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«Цифровая платформа транспортного комплекса Российской Федерации»</w:t>
      </w:r>
    </w:p>
    <w:p w:rsidR="004E129E" w:rsidRDefault="004E129E">
      <w:pPr>
        <w:pStyle w:val="ConsPlusNonformat"/>
        <w:jc w:val="center"/>
        <w:rPr>
          <w:rFonts w:ascii="Times New Roman" w:hAnsi="Times New Roman"/>
          <w:sz w:val="28"/>
        </w:rPr>
      </w:pPr>
    </w:p>
    <w:p w:rsidR="004E129E" w:rsidRDefault="00785246">
      <w:pPr>
        <w:pStyle w:val="1"/>
        <w:spacing w:after="240"/>
      </w:pPr>
      <w:r>
        <w:t xml:space="preserve">Обоснование необходимости реализации ведомственной целевой программы и ее соответствие целям государственной программы </w:t>
      </w:r>
      <w:r>
        <w:br/>
        <w:t xml:space="preserve">(задаче </w:t>
      </w:r>
      <w:r>
        <w:t>подпрограммы государственной программы)</w:t>
      </w:r>
    </w:p>
    <w:p w:rsidR="004E129E" w:rsidRDefault="00785246">
      <w:pPr>
        <w:pStyle w:val="ConsPlusNormal"/>
        <w:ind w:firstLine="709"/>
        <w:jc w:val="both"/>
      </w:pPr>
      <w:r>
        <w:t xml:space="preserve">Современный этап развития экономики, включая транспортный комплекс, характеризуется цифровой трансформацией экономических процессов, возрастанием роли и места информационно-коммуникационных технологий. Ввиду этого в </w:t>
      </w:r>
      <w:r>
        <w:t>России внедрение информационно-коммуникационных, цифровых технологий отнесено к числу стратегических государственных приоритетов.</w:t>
      </w:r>
    </w:p>
    <w:p w:rsidR="004E129E" w:rsidRDefault="00785246">
      <w:pPr>
        <w:pStyle w:val="ConsPlusNormal"/>
        <w:ind w:firstLine="709"/>
        <w:jc w:val="both"/>
      </w:pPr>
      <w:r>
        <w:t>Принятые в Российской Федерации к 2018 году документы стратегического планирования предусматривают меры, направленные на стиму</w:t>
      </w:r>
      <w:r>
        <w:t>лирование развития информационных и цифровых технологий и их использование в различных секторах экономики, включая транспорт.</w:t>
      </w:r>
    </w:p>
    <w:p w:rsidR="004E129E" w:rsidRDefault="00785246">
      <w:pPr>
        <w:pStyle w:val="ConsPlusNormal"/>
        <w:ind w:firstLine="709"/>
        <w:jc w:val="both"/>
      </w:pPr>
      <w:r>
        <w:t>В частности, как определено государственной программой Российской Федерации на период до 2024 года, утвержденной постановлением Пр</w:t>
      </w:r>
      <w:r>
        <w:t>авительства Российской Федерации от 20 декабря 2017 г. № 1596 основными целями программы «Развитие транспортной системы» являются, в том числе, повышение доступности качественных транспортных услуг для обеспечения транспортной подвижности населения и повыш</w:t>
      </w:r>
      <w:r>
        <w:t>ение комплексной безопасности и устойчивости транспортной системы с целью сокращения числа происшествий на транспорте.</w:t>
      </w:r>
    </w:p>
    <w:p w:rsidR="004E129E" w:rsidRDefault="00785246">
      <w:pPr>
        <w:pStyle w:val="ConsPlusNormal"/>
        <w:ind w:firstLine="709"/>
        <w:jc w:val="both"/>
      </w:pPr>
      <w:r>
        <w:t>Для решения этих целей государственной программой Российской Федерации на период до 2024 года предусмотрен переход к интенсивному, иннова</w:t>
      </w:r>
      <w:r>
        <w:t>ционному и социально ориентированному типу развития транспортного комплекса, который требует широкого внедрения в транспортном комплексе информационно-коммуникационных технологий, повышения уровня информированности, информационного взаимодействия органов в</w:t>
      </w:r>
      <w:r>
        <w:t xml:space="preserve">ласти, бизнеса </w:t>
      </w:r>
      <w:r>
        <w:br/>
        <w:t>и граждан, формирования и сквозного применения на всех этапах транспортного процесса информационных ресурсов (данных) в цифровой форме, которые становятся ключевым фактором производства во всех сферах социально-экономической деятельности, п</w:t>
      </w:r>
      <w:r>
        <w:t xml:space="preserve">овышают конкурентоспособность, качество жизни граждан, обеспечивают экономическую эффективность и экономический рост. </w:t>
      </w:r>
    </w:p>
    <w:p w:rsidR="004E129E" w:rsidRDefault="00785246">
      <w:pPr>
        <w:pStyle w:val="ConsPlusNormal"/>
        <w:ind w:firstLine="709"/>
        <w:jc w:val="both"/>
      </w:pPr>
      <w:r>
        <w:t>Соответственно, целями настоящей Программы определены следующие: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цель 1 - обеспечение органов управления транспортным комплексом информац</w:t>
      </w:r>
      <w:r>
        <w:t xml:space="preserve">ией о состоянии и ходе развития транспортной системы, ее безопасности и устойчивости, прогнозе спроса на транспортные услуги на основе увеличения количества обрабатываемых в централизованном банке данных информационно – аналитической системы регулирования </w:t>
      </w:r>
      <w:r>
        <w:t>на транспорте показателей до 1600 единиц;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Показатели определяются на основании данных системы АСУ ТК на конец отчетного периода.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цель 2 – повышение уровня информационного обеспечения безопасности </w:t>
      </w:r>
      <w:r>
        <w:lastRenderedPageBreak/>
        <w:t>населения на транспорте на основе увеличения до 30000 количе</w:t>
      </w:r>
      <w:r>
        <w:t>ства субъектов транспортной деятельности, подключенных к единому защищенному закрытому информационному пространству в сфере обеспечения безопасности.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Показатели определяются на основании данных Единой государственной информационной системы обеспечения тран</w:t>
      </w:r>
      <w:r>
        <w:t>спортной безопасности (ЕГИС ОТБ) на конец отчетного периода.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Для достижения цели 1 определено решение следующей задачи 1 </w:t>
      </w:r>
      <w:r>
        <w:br/>
        <w:t>- автоматизация и информационно-аналитическое обеспечение процессов управления транспортным комплексом.</w:t>
      </w:r>
    </w:p>
    <w:p w:rsidR="004E129E" w:rsidRDefault="00785246">
      <w:pPr>
        <w:pStyle w:val="ConsPlusNormal"/>
        <w:ind w:firstLine="709"/>
        <w:jc w:val="both"/>
      </w:pPr>
      <w:r>
        <w:t>Для достижения цели 2 определе</w:t>
      </w:r>
      <w:r>
        <w:t xml:space="preserve">но решение следующей задачи 2 </w:t>
      </w:r>
      <w:r>
        <w:br/>
        <w:t>- совершенствование и обеспечение функционирования систем информационного обеспечения безопасности населения на транспорте с учетом изменения законодательства в области транспортной безопасности и безопасности населения на тр</w:t>
      </w:r>
      <w:r>
        <w:t xml:space="preserve">анспорте, а также в рамках принимаемых на государственном уровне мер </w:t>
      </w:r>
      <w:r>
        <w:br/>
        <w:t xml:space="preserve">по обеспечению безопасности международных и массовых, в том числе, спортивных мероприятий. </w:t>
      </w:r>
    </w:p>
    <w:p w:rsidR="004E129E" w:rsidRDefault="00785246">
      <w:pPr>
        <w:pStyle w:val="ConsPlusNormal"/>
        <w:ind w:firstLine="709"/>
        <w:jc w:val="both"/>
      </w:pPr>
      <w:r>
        <w:t xml:space="preserve">При переходе к инновационному варианту развития транспортной системы </w:t>
      </w:r>
      <w:r>
        <w:br/>
        <w:t>с применением информацио</w:t>
      </w:r>
      <w:r>
        <w:t>нно-коммуникационных технологий будет обеспечено: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- развитие конкурентного рынка транспортных услуг, повышение </w:t>
      </w:r>
      <w:r>
        <w:br/>
        <w:t>его открытости и прозрачности;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- расширение номенклатуры и повышение качества транспортных услуг </w:t>
      </w:r>
      <w:r>
        <w:br/>
        <w:t>на основе применения современных транспортных,</w:t>
      </w:r>
      <w:r>
        <w:t xml:space="preserve"> логистических </w:t>
      </w:r>
      <w:r>
        <w:br/>
        <w:t>и информационно-телекоммуникационных технологий, развитие новых форм организации транспортного процесса и взаимодействия между видами транспорта;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- повышение производительности труда;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- сокращение издержек в логистических цепях поставок, в </w:t>
      </w:r>
      <w:r>
        <w:t>том числе при мультимодальных перевозках и на международных транспортных коридорах, проходящих через территорию Российской Федерации;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- повышение загрузки транспортной инфраструктуры, включая загрузку международных транспортных коридоров Российской Федерац</w:t>
      </w:r>
      <w:r>
        <w:t>ии;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- повышение доступности транспортных услуг для населения;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- обеспечение надежности и безопасности функционирования транспортной системы, в том числе транспортной безопасности;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- создание и применение эффективных механизмов мониторинга транспортных проц</w:t>
      </w:r>
      <w:r>
        <w:t>ессов, управления функционированием и развитием транспорта.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Для достижения целей и решения задач ведомственная программа включает комплекс мероприятий.</w:t>
      </w:r>
    </w:p>
    <w:p w:rsidR="004E129E" w:rsidRDefault="00785246">
      <w:pPr>
        <w:pStyle w:val="ConsPlusNormal"/>
        <w:ind w:firstLine="709"/>
        <w:jc w:val="both"/>
      </w:pPr>
      <w:r>
        <w:t>Основанием для выполнения мероприятий Программы являются следующие нормативные правовые документы:</w:t>
      </w:r>
    </w:p>
    <w:p w:rsidR="004E129E" w:rsidRDefault="00785246">
      <w:pPr>
        <w:pStyle w:val="ConsPlusNormal"/>
        <w:ind w:firstLine="709"/>
        <w:jc w:val="both"/>
      </w:pPr>
      <w:r>
        <w:t xml:space="preserve">Государственная программа Российской Федерации «Развитие транспортной системы», утвержденная постановлением Правительства Российской Федерации </w:t>
      </w:r>
      <w:r>
        <w:br/>
        <w:t>от 20.12.2017 №1596;</w:t>
      </w:r>
    </w:p>
    <w:p w:rsidR="004E129E" w:rsidRDefault="00785246">
      <w:pPr>
        <w:pStyle w:val="ConsPlusNormal"/>
        <w:ind w:firstLine="709"/>
        <w:jc w:val="both"/>
      </w:pPr>
      <w:r>
        <w:t>Федеральный закон от 09.02.2007 №16-ФЗ «О транспортной безопасности»;</w:t>
      </w:r>
    </w:p>
    <w:p w:rsidR="004E129E" w:rsidRDefault="00785246">
      <w:pPr>
        <w:pStyle w:val="ConsPlusNormal"/>
        <w:ind w:firstLine="709"/>
        <w:jc w:val="both"/>
      </w:pPr>
      <w:r>
        <w:t>Стратегия развития ин</w:t>
      </w:r>
      <w:r>
        <w:t xml:space="preserve">формационного общества в Российской Федерации </w:t>
      </w:r>
      <w:r>
        <w:br/>
      </w:r>
      <w:r>
        <w:lastRenderedPageBreak/>
        <w:t xml:space="preserve">на 2017-2030 годы, утвержденная Указом Президента Российской Федерации </w:t>
      </w:r>
      <w:r>
        <w:br/>
        <w:t>от 09.05.2017 № 203;</w:t>
      </w:r>
    </w:p>
    <w:p w:rsidR="004E129E" w:rsidRDefault="00785246">
      <w:pPr>
        <w:pStyle w:val="ConsPlusNormal"/>
        <w:ind w:firstLine="709"/>
        <w:jc w:val="both"/>
      </w:pPr>
      <w:r>
        <w:t>Стратегия научно – технологического развития Российской Федерации, утвержденная Указом Президента Российской Федерац</w:t>
      </w:r>
      <w:r>
        <w:t>ии от 01.12.2016 № 642;</w:t>
      </w:r>
    </w:p>
    <w:p w:rsidR="004E129E" w:rsidRDefault="00785246">
      <w:pPr>
        <w:pStyle w:val="ConsPlusNormal"/>
        <w:ind w:firstLine="709"/>
        <w:jc w:val="both"/>
      </w:pPr>
      <w:r>
        <w:t xml:space="preserve">Указ </w:t>
      </w:r>
      <w:r>
        <w:rPr>
          <w:u w:color="0F0000"/>
        </w:rPr>
        <w:t xml:space="preserve">Президента Российской Федерации от 7 мая 2018 г. № 204 </w:t>
      </w:r>
      <w:r>
        <w:br/>
      </w:r>
      <w:r>
        <w:rPr>
          <w:u w:color="0F0000"/>
        </w:rPr>
        <w:t>«</w:t>
      </w:r>
      <w:r>
        <w:t>О национальных целях и стратегических задачах развития Российской Федерации на период до 2024 года»;</w:t>
      </w:r>
    </w:p>
    <w:p w:rsidR="004E129E" w:rsidRDefault="00785246">
      <w:pPr>
        <w:pStyle w:val="ConsPlusNormal"/>
        <w:ind w:firstLine="709"/>
        <w:jc w:val="both"/>
      </w:pPr>
      <w:r>
        <w:t xml:space="preserve">Указ </w:t>
      </w:r>
      <w:r>
        <w:rPr>
          <w:u w:color="0F0000"/>
        </w:rPr>
        <w:t xml:space="preserve">Президента Российской Федерации от 21 июля 2020 № 474 </w:t>
      </w:r>
      <w:r>
        <w:br/>
      </w:r>
      <w:r>
        <w:rPr>
          <w:u w:color="0F0000"/>
        </w:rPr>
        <w:t>«</w:t>
      </w:r>
      <w:r>
        <w:t>О национ</w:t>
      </w:r>
      <w:r>
        <w:t>альных целях развития Российской Федерации на период до 2030 года»;</w:t>
      </w:r>
    </w:p>
    <w:p w:rsidR="004E129E" w:rsidRDefault="00785246">
      <w:pPr>
        <w:pStyle w:val="ConsPlusNormal"/>
        <w:ind w:firstLine="709"/>
        <w:jc w:val="both"/>
      </w:pPr>
      <w:r>
        <w:t>Транспортная стратегия Российской Федерации, утвержденная распоряжением Правительства Российской Федерации от 22.11.2008 № 1734-р;</w:t>
      </w:r>
    </w:p>
    <w:p w:rsidR="004E129E" w:rsidRDefault="00785246">
      <w:pPr>
        <w:pStyle w:val="ConsPlusNormal"/>
        <w:ind w:firstLine="709"/>
        <w:jc w:val="both"/>
      </w:pPr>
      <w:r>
        <w:t>Постановление Правительства Российской Федерации от 08.04</w:t>
      </w:r>
      <w:r>
        <w:t>.2017 № 425 «О внесении изменений в некоторые акты Правительства Российской Федерации по вопросу аттестации сил обеспечения транспортной безопасности»;</w:t>
      </w:r>
    </w:p>
    <w:p w:rsidR="004E129E" w:rsidRDefault="00785246">
      <w:pPr>
        <w:pStyle w:val="ConsPlusNormal"/>
        <w:ind w:firstLine="709"/>
        <w:jc w:val="both"/>
      </w:pPr>
      <w:r>
        <w:t xml:space="preserve">Распоряжение Правительства Российской Федерации от 19.09.2013 </w:t>
      </w:r>
      <w:r>
        <w:br/>
        <w:t>№ 1699-р «Об утверждении Концепции введен</w:t>
      </w:r>
      <w:r>
        <w:t>ия в Российской Федерации удостоверения личности гражданина Российской Федерации, оформляемого в виде пластиковой карты с электронным носителем информации, и плана мероприятий по реализации Концепции»;</w:t>
      </w:r>
    </w:p>
    <w:p w:rsidR="004E129E" w:rsidRDefault="00785246">
      <w:pPr>
        <w:pStyle w:val="ConsPlusNormal"/>
        <w:ind w:firstLine="709"/>
        <w:jc w:val="both"/>
      </w:pPr>
      <w:r>
        <w:t>Протоколы заседания Совета безопасности Российской Фед</w:t>
      </w:r>
      <w:r>
        <w:t xml:space="preserve">ерации </w:t>
      </w:r>
      <w:r>
        <w:br/>
        <w:t>от 01.10.2014, 12.08.2016, 01.12.2016;</w:t>
      </w:r>
    </w:p>
    <w:p w:rsidR="004E129E" w:rsidRDefault="00785246">
      <w:pPr>
        <w:pStyle w:val="ConsPlusNormal"/>
        <w:ind w:firstLine="709"/>
        <w:jc w:val="both"/>
      </w:pPr>
      <w:r>
        <w:t xml:space="preserve">Протоколы заседаний Национального антитеррористического комитета </w:t>
      </w:r>
      <w:r>
        <w:br/>
        <w:t>от 02.2014, 09.08.2016;</w:t>
      </w:r>
    </w:p>
    <w:p w:rsidR="004E129E" w:rsidRDefault="00785246">
      <w:pPr>
        <w:pStyle w:val="ConsPlusNormal"/>
        <w:ind w:firstLine="709"/>
        <w:jc w:val="both"/>
      </w:pPr>
      <w:r>
        <w:t xml:space="preserve">Приказ Министерства транспорта Российской Федерации от 19.07.2012 № 243 «Об утверждении порядка формирования и ведения </w:t>
      </w:r>
      <w:r>
        <w:t>автоматизированных централизованных баз персональных данных о пассажирах, а также предоставления содержащихся в них данных».</w:t>
      </w:r>
    </w:p>
    <w:p w:rsidR="004E129E" w:rsidRDefault="00785246">
      <w:pPr>
        <w:pStyle w:val="1"/>
        <w:spacing w:after="240"/>
        <w:ind w:left="709" w:hanging="709"/>
      </w:pPr>
      <w:r>
        <w:t>Описание социальных, экономических и экологических последствий реализации ведомственной целевой программы, общая оценка ее вклада в</w:t>
      </w:r>
      <w:r>
        <w:t xml:space="preserve"> достижение цели государственной программы, оценка рисков ее реализации</w:t>
      </w:r>
    </w:p>
    <w:p w:rsidR="004E129E" w:rsidRDefault="00785246">
      <w:pPr>
        <w:pStyle w:val="ConsPlusNormal"/>
        <w:ind w:firstLine="709"/>
        <w:jc w:val="both"/>
      </w:pPr>
      <w:r>
        <w:t xml:space="preserve">Достижение всех целей, определенных настоящей Программой, </w:t>
      </w:r>
      <w:r>
        <w:br/>
        <w:t>с обеспечением совершенствования информационно-аналитической системы регулирования на транспорте (АСУ ТК), развития системы и</w:t>
      </w:r>
      <w:r>
        <w:t xml:space="preserve">нформационного обеспечения безопасности населения на транспорте, включая единую государственную информационную систему обеспечения транспортной безопасности (ЕГИС ОТБ), основанные на научном подходе использования информационно-коммуникационных технологий, </w:t>
      </w:r>
      <w:r>
        <w:t xml:space="preserve">реализованных на качественно новом уровне, позволяющем использовать потенциал данных в цифровой форме как ключевой фактор производства, позволит серьезным образом повысить эффективность государственного управления в транспортном комплексе. </w:t>
      </w:r>
    </w:p>
    <w:p w:rsidR="004E129E" w:rsidRDefault="00785246">
      <w:pPr>
        <w:pStyle w:val="ConsPlusNormal"/>
        <w:ind w:firstLine="709"/>
        <w:jc w:val="both"/>
      </w:pPr>
      <w:r>
        <w:t xml:space="preserve">Сюда относится </w:t>
      </w:r>
      <w:r>
        <w:t xml:space="preserve">и развитие конкурентного рынка транспортных услуг, повышение его открытости и прозрачности; повышение доступности транспортных </w:t>
      </w:r>
      <w:r>
        <w:lastRenderedPageBreak/>
        <w:t>услуг для населения; расширение номенклатуры и повышение качества транспортных услуг на основе применения современных транспортны</w:t>
      </w:r>
      <w:r>
        <w:t xml:space="preserve">х, логистических и информационно-телекоммуникационных технологий, развитие новых форм организации транспортного процесса и взаимодействия между видами транспорта; повышение производительности труда; обеспечение надежности </w:t>
      </w:r>
      <w:r>
        <w:br/>
        <w:t>и безопасности функционирования т</w:t>
      </w:r>
      <w:r>
        <w:t>ранспортной системы, в том числе транспортной безопасности; применение эффективных механизмов мониторинга транспортных процессов, управления функционированием и развитием транспорта.</w:t>
      </w:r>
    </w:p>
    <w:p w:rsidR="004E129E" w:rsidRDefault="00785246">
      <w:pPr>
        <w:pStyle w:val="ConsPlusNormal"/>
        <w:ind w:firstLine="709"/>
        <w:jc w:val="both"/>
      </w:pPr>
      <w:r>
        <w:t>Достижение этих важнейших результатов от реализации мероприятий Программы</w:t>
      </w:r>
      <w:r>
        <w:t xml:space="preserve"> будет формировать основной социально – экономический эффект.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При этом, можно выделить две группы показателей результативности: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Прямые: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71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>Коэффициент бесперебойной работы АСУ ТК к концу 2024 года составит 99,9%;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71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Прирост активных прикладных пользователей АСУ </w:t>
      </w:r>
      <w:r>
        <w:rPr>
          <w:sz w:val="28"/>
        </w:rPr>
        <w:t>ТК к концу 2024 года составит 50%;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71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>Количество сквозных процессов деятельности органов управления транспортным комплексом, реализуемых в цифровой форме, к концу 2024 года составит 12 шт.;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71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Количество подключенных к АСУ ТК субъектов Российской Федерации </w:t>
      </w:r>
      <w:r>
        <w:rPr>
          <w:sz w:val="28"/>
        </w:rPr>
        <w:t xml:space="preserve">и их информационных источников к концу 2024 года составит </w:t>
      </w:r>
      <w:r>
        <w:br/>
      </w:r>
      <w:r>
        <w:rPr>
          <w:sz w:val="28"/>
        </w:rPr>
        <w:t>82 единицы;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71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Количество инфраструктурных проектов в сфере транспорта, реализуемых с привлечением государственного финансирования, подготовка и/или реализация которых осуществляется с использованием </w:t>
      </w:r>
      <w:r>
        <w:rPr>
          <w:sz w:val="28"/>
        </w:rPr>
        <w:t>системы эффективного транспортного планирования в составе АСУ ТК, к концу 2024 года составит 85% по отношению к значению в базовом году;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71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>Количество автоматизированных государственных функций по направлению обеспечения транспортной безопасности за счет созд</w:t>
      </w:r>
      <w:r>
        <w:rPr>
          <w:sz w:val="28"/>
        </w:rPr>
        <w:t>ания дополнительных функциональных подсистем ЕГИС ОТБ, обеспечивающих информационную поддержку процессов и мероприятий в области обеспечения транспортной безопасности уполномоченным представителям органов исполнительной власти составит к концу 2024 года 34</w:t>
      </w:r>
      <w:r>
        <w:rPr>
          <w:sz w:val="28"/>
        </w:rPr>
        <w:t xml:space="preserve"> шт.;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71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>Обеспечение (поддержание) заданных параметров доступности сервисов и данных в области информационного обеспечения транспортной безопасности для уполномоченных пользователей федеральных органов исполнительной власти на уровне не менее 98,0%.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Косвенные</w:t>
      </w:r>
      <w:r>
        <w:t>: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Повышение качества управленческих решений по развитию транспортной инфраструктуры, технологий, управлению безопасностью за счет использования при принятии решений консолидированной, своевременной, достоверной информации, применения средств аналитической </w:t>
      </w:r>
      <w:r>
        <w:rPr>
          <w:sz w:val="28"/>
        </w:rPr>
        <w:t>обработки данных и поддержки принятия решений;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Сокращение затрат на поиск, обработку, представление информации </w:t>
      </w:r>
      <w:r>
        <w:br/>
      </w:r>
      <w:r>
        <w:rPr>
          <w:sz w:val="28"/>
        </w:rPr>
        <w:t>за счет внедрения эффективных систем хранения и визуализации данных;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 xml:space="preserve">Снижение транспортных затрат при перевозке грузов и пассажиров </w:t>
      </w:r>
      <w:r>
        <w:br/>
      </w:r>
      <w:r>
        <w:rPr>
          <w:sz w:val="28"/>
        </w:rPr>
        <w:t>за счет реш</w:t>
      </w:r>
      <w:r>
        <w:rPr>
          <w:sz w:val="28"/>
        </w:rPr>
        <w:t>ения логистических задач и информационной поддержки взаимодействия видов транспорта;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>Повышение качества и скорости обоснования инвестиционных проектов в сфере транспорта и комплексной оценки их эффективности, сравнения вариантов реализации за счет внедрени</w:t>
      </w:r>
      <w:r>
        <w:rPr>
          <w:sz w:val="28"/>
        </w:rPr>
        <w:t>я системы транспортного планирования на основе комплекса моделей, транспортно-экономического баланса и базовых цифровых ресурсов транспортной отрасли;</w:t>
      </w:r>
    </w:p>
    <w:p w:rsidR="004E129E" w:rsidRDefault="00785246">
      <w:pPr>
        <w:pStyle w:val="ab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contextualSpacing/>
        <w:rPr>
          <w:sz w:val="28"/>
        </w:rPr>
      </w:pPr>
      <w:r>
        <w:rPr>
          <w:sz w:val="28"/>
        </w:rPr>
        <w:t>Рост привлекательности транспортной системы России для иностранных грузоперевозчиков за счет повышения на</w:t>
      </w:r>
      <w:r>
        <w:rPr>
          <w:sz w:val="28"/>
        </w:rPr>
        <w:t xml:space="preserve">дежности процесса перевозок </w:t>
      </w:r>
      <w:r>
        <w:rPr>
          <w:sz w:val="28"/>
        </w:rPr>
        <w:br/>
        <w:t>и эффективности функционирования транспортной системы в целом.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Таким образом, реализация мероприятий настоящей Программы прямым образом влияет на достижение заданных целей государственной программы Российской Федерации «Развити</w:t>
      </w:r>
      <w:r>
        <w:t>е транспортной системы».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Реализация Программы не несет негативных экологических последствий.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На решение задач и достижение целей настоящей Программы оказывают влияние следующие факторы и риски: 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Нормативные правовые риски. 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Реализация Программы во многом о</w:t>
      </w:r>
      <w:r>
        <w:t>пределяется совершенствованием нормативной правовой базы направленной на урегулирование отношений, возникающих в связи с эксплуатацией и дальнейшим развитием функционирования АСУ ТК и системы информационного обеспечения безопасности населения на транспорте</w:t>
      </w:r>
      <w:r>
        <w:t xml:space="preserve">, включая ЕГИС ОТБ. Задержка принятия запланированных нормативных правовых актов может существенно снизить результативность Программы. 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Сокращение бюджетного финансирования.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При сокращении объемов бюджетных ассигнований, в том числе, инвестиционных возможн</w:t>
      </w:r>
      <w:r>
        <w:t>остей федерального бюджета и плановых лимитов финансирования мероприятий по настоящей Программе достижение планируемых результатов становится затруднительным.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Экономические риски, связанные с необходимыми значительными вложениями средств в развитие информа</w:t>
      </w:r>
      <w:r>
        <w:t>ционных технологий, что ставит выполнение Программы в зависимость от ее бюджетной обеспеченности, общей экономической ситуации в стране, благоприятного инвестиционного климата.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Учитывая экономическую ситуацию в стране и прогнозы экспертов </w:t>
      </w:r>
      <w:r>
        <w:br/>
        <w:t>по развитию миро</w:t>
      </w:r>
      <w:r>
        <w:t xml:space="preserve">вой экономики, внешние экономические риски успешного выполнения Программы можно считать незначительными. 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Обеспечение выполнения Программы необходимыми для достижения результатов ресурсами возможно при условии последовательного выполнения финансовых обязат</w:t>
      </w:r>
      <w:r>
        <w:t>ельств, зафиксированных в Программе.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Организационные риски, связанные с проблемами координации деятельности большого числа исполнителей и управления сложными проектами, требующими согласованной технической политики.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Риски, связанные с «человеческим факторо</w:t>
      </w:r>
      <w:r>
        <w:t>м», характерные при внедрении новых технологий.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В качестве мер по управлению организационными и финансовыми рисками будут использоваться: ежеквартальный мониторинг реализации Программы, закрепление персональной ответственности за достижение непосредственных </w:t>
      </w:r>
      <w:r>
        <w:br/>
        <w:t>и конечных результатов Программы, осуществлен</w:t>
      </w:r>
      <w:r>
        <w:t>ие мероприятий финансового контроля.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Мероприятия, включенные в проект ведомственной целевой программы, </w:t>
      </w:r>
      <w:r>
        <w:br/>
        <w:t xml:space="preserve">не дублируют мероприятия проекта ведомственного проекта «Цифровой транспорт </w:t>
      </w:r>
      <w:r>
        <w:br/>
        <w:t>и логистика», разработанного Минтрансом России во исполнение пункта 11 Указ</w:t>
      </w:r>
      <w:r>
        <w:t xml:space="preserve">а Президента Российской Федерации В.В. Путина от 07.05.2018 № 204 </w:t>
      </w:r>
      <w:r>
        <w:br/>
        <w:t>«О национальных целях и стратегических задачах развития Российской Федерации на период до 2024 года» и в соответствии с поручением Правительства Российской Федерации от 08.08.2018 № МА-П10-</w:t>
      </w:r>
      <w:r>
        <w:t>5023.</w:t>
      </w:r>
    </w:p>
    <w:p w:rsidR="004E129E" w:rsidRDefault="00785246">
      <w:pPr>
        <w:pStyle w:val="1"/>
        <w:spacing w:after="240"/>
        <w:ind w:left="709" w:hanging="709"/>
      </w:pPr>
      <w:r>
        <w:t>Обоснование объемов бюджетных ассигнований на реализацию ведомственной целевой программы</w:t>
      </w:r>
    </w:p>
    <w:p w:rsidR="004E129E" w:rsidRDefault="0078524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бюджетных ассигнований из средств федерального бюджета соответствуют параметрам  Федерального закона от 02.12.2019 № 380-ФЗ </w:t>
      </w:r>
      <w:r>
        <w:br/>
      </w:r>
      <w:r>
        <w:rPr>
          <w:rFonts w:ascii="Times New Roman" w:hAnsi="Times New Roman"/>
          <w:sz w:val="28"/>
        </w:rPr>
        <w:t>«О федеральном бюджете на 2020</w:t>
      </w:r>
      <w:r>
        <w:rPr>
          <w:rFonts w:ascii="Times New Roman" w:hAnsi="Times New Roman"/>
          <w:sz w:val="28"/>
        </w:rPr>
        <w:t xml:space="preserve"> год и на плановый период 2021 и 2022 годов».</w:t>
      </w:r>
    </w:p>
    <w:p w:rsidR="004E129E" w:rsidRDefault="00785246">
      <w:pPr>
        <w:pStyle w:val="ConsPlusNormal"/>
        <w:ind w:firstLine="709"/>
        <w:jc w:val="both"/>
      </w:pPr>
      <w:r>
        <w:t xml:space="preserve">Общий объем финансирования мероприятий Программы составляет </w:t>
      </w:r>
      <w:r>
        <w:br/>
      </w:r>
      <w:r>
        <w:t>9 812 061,5 </w:t>
      </w:r>
      <w:r>
        <w:t xml:space="preserve"> т</w:t>
      </w:r>
      <w:r>
        <w:t>ыс. рублей*.</w:t>
      </w:r>
    </w:p>
    <w:p w:rsidR="004E129E" w:rsidRDefault="00785246">
      <w:pPr>
        <w:pStyle w:val="ConsPlusNormal"/>
        <w:ind w:firstLine="709"/>
        <w:jc w:val="both"/>
      </w:pPr>
      <w:r>
        <w:t xml:space="preserve">В том числе, объем бюджетных ассигнований из средств федерального бюджета предусмотрен в размере </w:t>
      </w:r>
      <w:r>
        <w:t>9 812 061,5 </w:t>
      </w:r>
      <w:r>
        <w:t xml:space="preserve"> тыс.</w:t>
      </w:r>
      <w:r>
        <w:t> рублей*, в том числе:</w:t>
      </w:r>
    </w:p>
    <w:p w:rsidR="004E129E" w:rsidRDefault="00785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2019 г. – 1 583 963,3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:rsidR="004E129E" w:rsidRDefault="00785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2020 г. – 1 561 756,9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:rsidR="004E129E" w:rsidRDefault="00785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2021 г. – 1 584 370,0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:rsidR="004E129E" w:rsidRDefault="00785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2022 г. – 1 586 115,9</w:t>
      </w:r>
      <w: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:rsidR="004E129E" w:rsidRDefault="00785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г. – 1 713 654,6 тыс. рублей*;</w:t>
      </w:r>
    </w:p>
    <w:p w:rsidR="004E129E" w:rsidRDefault="007852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2024 г. – 1 782 200,8 тыс. рублей*.</w:t>
      </w:r>
    </w:p>
    <w:p w:rsidR="004E129E" w:rsidRDefault="00785246">
      <w:pPr>
        <w:pStyle w:val="ConsPlusNormal"/>
        <w:ind w:firstLine="709"/>
        <w:jc w:val="both"/>
      </w:pPr>
      <w:r>
        <w:t>Пар</w:t>
      </w:r>
      <w:r>
        <w:t>аметры ресурсного обеспечения в 2022-2024 годах рассчитаны на основе расходов 2021 года с учетом дефляторов, установленных базовым сценарием среднесрочного прогноза социально-экономического развития Российской Федерации на 2019-2024 год, опубликованного на</w:t>
      </w:r>
      <w:r>
        <w:t xml:space="preserve"> сайте Минэкономразвития России (</w:t>
      </w:r>
      <w:hyperlink r:id="rId7" w:history="1">
        <w:r>
          <w:t>http://economy.gov.ru/minec/activity/sections/macro/201801101</w:t>
        </w:r>
      </w:hyperlink>
      <w:r>
        <w:t>).</w:t>
      </w:r>
    </w:p>
    <w:p w:rsidR="004E129E" w:rsidRDefault="00785246">
      <w:pPr>
        <w:pStyle w:val="ConsPlusNormal"/>
        <w:ind w:firstLine="709"/>
        <w:jc w:val="both"/>
      </w:pPr>
      <w:r>
        <w:t>В частности, был применен индекс потребительских цен в среднем за год, который сост</w:t>
      </w:r>
      <w:r>
        <w:t>авил в 2022-2024 годах 104,0 процента.</w:t>
      </w:r>
    </w:p>
    <w:p w:rsidR="004E129E" w:rsidRDefault="00785246">
      <w:pPr>
        <w:pStyle w:val="ConsPlusNormal"/>
        <w:ind w:firstLine="709"/>
        <w:jc w:val="both"/>
      </w:pPr>
      <w:r>
        <w:t xml:space="preserve">Все затраты на реализацию Программы составляют расходы </w:t>
      </w:r>
      <w:r>
        <w:br/>
        <w:t>по информатизации в транспортной отрасли Российской Федерации и направлены на реализацию 4 мероприятий в рамках решения двух задач по достижению двух целей.</w:t>
      </w:r>
    </w:p>
    <w:p w:rsidR="004E129E" w:rsidRDefault="00785246">
      <w:pPr>
        <w:pStyle w:val="ConsPlusNormal"/>
        <w:spacing w:before="120"/>
        <w:ind w:firstLine="709"/>
        <w:jc w:val="both"/>
      </w:pPr>
      <w:r>
        <w:t>На д</w:t>
      </w:r>
      <w:r>
        <w:t xml:space="preserve">остижение цели 1 - </w:t>
      </w:r>
      <w:r>
        <w:rPr>
          <w:i/>
        </w:rPr>
        <w:t xml:space="preserve">обеспечение органов управления транспортным комплексом информацией о состоянии и ходе развития транспортной системы, ее безопасности и устойчивости, прогнозе спроса на транспортные услуги </w:t>
      </w:r>
      <w:r>
        <w:br/>
      </w:r>
      <w:r>
        <w:rPr>
          <w:i/>
        </w:rPr>
        <w:t>на основе увеличения количества обрабатываемых в</w:t>
      </w:r>
      <w:r>
        <w:rPr>
          <w:i/>
        </w:rPr>
        <w:t xml:space="preserve"> централизованном банке данных информационно – аналитической системы регулирования на транспорте показателей до 1600 единиц </w:t>
      </w:r>
      <w:r>
        <w:t>влияет решение задачи 1 Программы − автоматизация и информационно-аналитическое обеспечение процессов управления транспортным компле</w:t>
      </w:r>
      <w:r>
        <w:t>ксом.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Решение данной задачи обеспечивается реализацией 2-ух мероприятий: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- </w:t>
      </w:r>
      <w:r>
        <w:rPr>
          <w:sz w:val="27"/>
        </w:rPr>
        <w:t>«Э</w:t>
      </w:r>
      <w:r>
        <w:t>ксплуатация АСУ ТК»;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- </w:t>
      </w:r>
      <w:r>
        <w:rPr>
          <w:sz w:val="27"/>
        </w:rPr>
        <w:t xml:space="preserve">«Развитие </w:t>
      </w:r>
      <w:r>
        <w:t>АСУ ТК»,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бюджетные ассигнования которых из федерального бюджета, предусмотренные федеральным законом о федеральном бюджете предусмотрены </w:t>
      </w:r>
      <w:r>
        <w:br/>
        <w:t>в размер</w:t>
      </w:r>
      <w:r>
        <w:t>е 2 229 463,00 тыс. рублей, в том числе:</w:t>
      </w:r>
    </w:p>
    <w:p w:rsidR="004E129E" w:rsidRDefault="00785246">
      <w:pPr>
        <w:pStyle w:val="ConsPlusNormal"/>
        <w:ind w:firstLine="709"/>
        <w:jc w:val="both"/>
      </w:pPr>
      <w:r>
        <w:t>на 2019 год – 751 179,40 тыс. рублей;</w:t>
      </w:r>
    </w:p>
    <w:p w:rsidR="004E129E" w:rsidRDefault="00785246">
      <w:pPr>
        <w:pStyle w:val="ConsPlusNormal"/>
        <w:ind w:firstLine="709"/>
        <w:jc w:val="both"/>
      </w:pPr>
      <w:r>
        <w:t>на 2020 год – 728 973,00 тыс. рублей;</w:t>
      </w:r>
    </w:p>
    <w:p w:rsidR="004E129E" w:rsidRDefault="00785246">
      <w:pPr>
        <w:pStyle w:val="ConsPlusNormal"/>
        <w:ind w:firstLine="709"/>
        <w:jc w:val="both"/>
      </w:pPr>
      <w:r>
        <w:t>на 2021 год – 750 245,00 тыс. рублей;</w:t>
      </w:r>
    </w:p>
    <w:p w:rsidR="004E129E" w:rsidRDefault="00785246">
      <w:pPr>
        <w:pStyle w:val="ConsPlusNormal"/>
        <w:ind w:firstLine="709"/>
        <w:jc w:val="both"/>
      </w:pPr>
      <w:r>
        <w:t>на 2022 год – 750 245,00 тыс. рублей;</w:t>
      </w:r>
    </w:p>
    <w:p w:rsidR="004E129E" w:rsidRDefault="00785246">
      <w:pPr>
        <w:pStyle w:val="ConsPlusNormal"/>
        <w:ind w:firstLine="709"/>
        <w:jc w:val="both"/>
      </w:pPr>
      <w:r>
        <w:t>на 2023 год – 811 464,99 тыс. рублей**;</w:t>
      </w:r>
    </w:p>
    <w:p w:rsidR="004E129E" w:rsidRDefault="00785246">
      <w:pPr>
        <w:pStyle w:val="ConsPlusNormal"/>
        <w:ind w:firstLine="709"/>
        <w:jc w:val="both"/>
      </w:pPr>
      <w:r>
        <w:t xml:space="preserve">на 2024 год – 843 </w:t>
      </w:r>
      <w:r>
        <w:t>923,59 тыс. рублей**;</w:t>
      </w:r>
    </w:p>
    <w:p w:rsidR="004E129E" w:rsidRDefault="004E129E">
      <w:pPr>
        <w:pStyle w:val="ConsPlusNormal"/>
        <w:spacing w:before="120"/>
        <w:ind w:firstLine="709"/>
        <w:jc w:val="both"/>
      </w:pPr>
    </w:p>
    <w:p w:rsidR="004E129E" w:rsidRDefault="00785246">
      <w:pPr>
        <w:pStyle w:val="ConsPlusNormal"/>
        <w:spacing w:before="120"/>
        <w:ind w:firstLine="709"/>
        <w:jc w:val="both"/>
      </w:pPr>
      <w:r>
        <w:t xml:space="preserve">На достижение цели 2 – </w:t>
      </w:r>
      <w:r>
        <w:rPr>
          <w:i/>
        </w:rPr>
        <w:t>повышение уровня информационного обеспечения безопасности населения на транспорте на основе увеличения до 30000 количества субъектов транспортной деятельности, подключенных к единому защищенному закрытому инфор</w:t>
      </w:r>
      <w:r>
        <w:rPr>
          <w:i/>
        </w:rPr>
        <w:t>мационному пространству в сфере обеспечения безопасности</w:t>
      </w:r>
      <w:r>
        <w:t xml:space="preserve"> влияет решение задачи 2 Программы - совершенствование </w:t>
      </w:r>
      <w:r>
        <w:br/>
        <w:t xml:space="preserve">и обеспечение функционирования систем информационного обеспечения безопасности населения на транспорте с учетом изменения законодательства </w:t>
      </w:r>
      <w:r>
        <w:br/>
        <w:t>в об</w:t>
      </w:r>
      <w:r>
        <w:t xml:space="preserve">ласти транспортной безопасности и безопасности населения на транспорте, </w:t>
      </w:r>
      <w:r>
        <w:br/>
        <w:t xml:space="preserve">а также в рамках принимаемых на государственном уровне мер по обеспечению безопасности международных и массовых, в том числе, спортивных мероприятий. 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Решение данной задачи обеспечива</w:t>
      </w:r>
      <w:r>
        <w:t>ется реализацией 2-х мероприятий: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>- «Развитие единой государственной информационной системы обеспечения транспортной безопасности (ЕГИС ОТБ), включая автоматизированные централизованные базы персональных данных о пассажирах и персонале транспортных средств</w:t>
      </w:r>
      <w:r>
        <w:t>»;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  <w:rPr>
          <w:sz w:val="27"/>
        </w:rPr>
      </w:pPr>
      <w:r>
        <w:t xml:space="preserve">- </w:t>
      </w:r>
      <w:r>
        <w:rPr>
          <w:sz w:val="27"/>
        </w:rPr>
        <w:t xml:space="preserve">«Эксплуатация </w:t>
      </w:r>
      <w:r>
        <w:t>систем информационного обеспечения безопасности населения на транспорте</w:t>
      </w:r>
      <w:r>
        <w:rPr>
          <w:sz w:val="27"/>
        </w:rPr>
        <w:t>»;</w:t>
      </w:r>
    </w:p>
    <w:p w:rsidR="004E129E" w:rsidRDefault="00785246">
      <w:pPr>
        <w:pStyle w:val="ConsPlusNormal"/>
        <w:tabs>
          <w:tab w:val="left" w:pos="1134"/>
        </w:tabs>
        <w:ind w:firstLine="709"/>
        <w:jc w:val="both"/>
      </w:pPr>
      <w:r>
        <w:t xml:space="preserve">бюджетные ассигнования которых из федерального бюджета, предусмотренные федеральным законом о федеральном бюджете предусмотрены </w:t>
      </w:r>
      <w:r>
        <w:br/>
        <w:t xml:space="preserve">в размере 2 499 692,80 тыс. </w:t>
      </w:r>
      <w:r>
        <w:t>рублей*, в том числе:</w:t>
      </w:r>
    </w:p>
    <w:p w:rsidR="004E129E" w:rsidRDefault="00785246">
      <w:pPr>
        <w:pStyle w:val="ConsPlusNormal"/>
        <w:ind w:firstLine="709"/>
        <w:jc w:val="both"/>
      </w:pPr>
      <w:r>
        <w:t>на 2019 год – 832 783,90 тыс. рублей;</w:t>
      </w:r>
    </w:p>
    <w:p w:rsidR="004E129E" w:rsidRDefault="00785246">
      <w:pPr>
        <w:pStyle w:val="ConsPlusNormal"/>
        <w:ind w:firstLine="709"/>
        <w:jc w:val="both"/>
      </w:pPr>
      <w:r>
        <w:t>на 2020 год – 832 783,90 тыс. рублей;</w:t>
      </w:r>
    </w:p>
    <w:p w:rsidR="004E129E" w:rsidRDefault="00785246">
      <w:pPr>
        <w:pStyle w:val="ConsPlusNormal"/>
        <w:ind w:firstLine="709"/>
        <w:jc w:val="both"/>
      </w:pPr>
      <w:r>
        <w:t>на 2021 год – 834 125,00 тыс. рублей;</w:t>
      </w:r>
    </w:p>
    <w:p w:rsidR="004E129E" w:rsidRDefault="00785246">
      <w:pPr>
        <w:pStyle w:val="ConsPlusNormal"/>
        <w:ind w:firstLine="709"/>
        <w:jc w:val="both"/>
      </w:pPr>
      <w:r>
        <w:t>на 2022 год – 835 870,90 тыс. рублей;</w:t>
      </w:r>
    </w:p>
    <w:p w:rsidR="004E129E" w:rsidRDefault="00785246">
      <w:pPr>
        <w:widowControl w:val="0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год – 902 189,60 тыс. рублей*;</w:t>
      </w:r>
    </w:p>
    <w:p w:rsidR="004E129E" w:rsidRDefault="00785246">
      <w:pPr>
        <w:pStyle w:val="ConsPlusNormal"/>
        <w:ind w:firstLine="709"/>
        <w:jc w:val="both"/>
      </w:pPr>
      <w:r>
        <w:t>на 2024 год – 938 277,19 тыс. рублей*;</w:t>
      </w:r>
    </w:p>
    <w:p w:rsidR="004E129E" w:rsidRDefault="004E129E">
      <w:pPr>
        <w:pStyle w:val="ConsPlusNormal"/>
        <w:ind w:firstLine="709"/>
        <w:jc w:val="both"/>
      </w:pPr>
    </w:p>
    <w:p w:rsidR="004E129E" w:rsidRDefault="00785246">
      <w:pPr>
        <w:pStyle w:val="ConsPlusNormal"/>
        <w:ind w:firstLine="709"/>
        <w:jc w:val="both"/>
      </w:pPr>
      <w:r>
        <w:t>Пер</w:t>
      </w:r>
      <w:r>
        <w:t xml:space="preserve">ечень мероприятий ведомственной целевой программы, их связь </w:t>
      </w:r>
      <w:r>
        <w:br/>
        <w:t>с задачами Программы, а также ожидаемые результаты реализации мероприятий представлены в Приложении №2 Паспорта ведомственной целевой программы.</w:t>
      </w:r>
    </w:p>
    <w:p w:rsidR="004E129E" w:rsidRDefault="00785246">
      <w:pPr>
        <w:pStyle w:val="ConsPlusNormal"/>
        <w:ind w:firstLine="709"/>
        <w:jc w:val="both"/>
      </w:pPr>
      <w:r>
        <w:t>Объемы бюджетных ассигнований на реализацию Програ</w:t>
      </w:r>
      <w:r>
        <w:t>ммы с разбивкой финансирования по каждому мероприятию с указанием сроков их реализации представлены в Приложении №3 Паспорта ведомственной целевой программы.</w:t>
      </w:r>
      <w:bookmarkStart w:id="1" w:name="14"/>
      <w:bookmarkEnd w:id="1"/>
    </w:p>
    <w:p w:rsidR="004E129E" w:rsidRDefault="00785246">
      <w:pPr>
        <w:pStyle w:val="ConsPlusNormal"/>
        <w:ind w:firstLine="709"/>
        <w:jc w:val="both"/>
      </w:pPr>
      <w:r>
        <w:t>Обоснования объемов осуществляемых за счет средств федерального бюджета расходов на реализацию вед</w:t>
      </w:r>
      <w:r>
        <w:t xml:space="preserve">омственной целевой программы приведены </w:t>
      </w:r>
      <w:r>
        <w:br/>
        <w:t xml:space="preserve">в соответствующих финансово – экономических обоснованиях для каждого </w:t>
      </w:r>
      <w:r>
        <w:br/>
        <w:t>из мероприятий Программы.</w:t>
      </w:r>
    </w:p>
    <w:p w:rsidR="004E129E" w:rsidRDefault="00785246">
      <w:pPr>
        <w:widowControl w:val="0"/>
        <w:tabs>
          <w:tab w:val="left" w:pos="504"/>
          <w:tab w:val="center" w:pos="467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</w:p>
    <w:p w:rsidR="004E129E" w:rsidRDefault="00785246">
      <w:pPr>
        <w:widowControl w:val="0"/>
        <w:tabs>
          <w:tab w:val="left" w:pos="504"/>
          <w:tab w:val="center" w:pos="467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Объемы финансирования будут определены в рамках формирования федерального закона о федеральном</w:t>
      </w:r>
      <w:r>
        <w:rPr>
          <w:rFonts w:ascii="Times New Roman" w:hAnsi="Times New Roman"/>
          <w:sz w:val="24"/>
        </w:rPr>
        <w:t xml:space="preserve"> бюджете на соответствующий год</w:t>
      </w:r>
    </w:p>
    <w:p w:rsidR="004E129E" w:rsidRDefault="00785246">
      <w:pPr>
        <w:widowControl w:val="0"/>
        <w:tabs>
          <w:tab w:val="left" w:pos="504"/>
          <w:tab w:val="center" w:pos="467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 Объем бюджетных ассигнований из федерального бюджета будет уточнен при формировании федерального закона о федеральном бюджете на соответствующий </w:t>
      </w:r>
      <w:r>
        <w:rPr>
          <w:rFonts w:ascii="Times New Roman" w:hAnsi="Times New Roman"/>
          <w:sz w:val="24"/>
        </w:rPr>
        <w:br/>
        <w:t>год и плановый период</w:t>
      </w:r>
    </w:p>
    <w:p w:rsidR="004E129E" w:rsidRDefault="004E129E">
      <w:pPr>
        <w:widowControl w:val="0"/>
        <w:tabs>
          <w:tab w:val="left" w:pos="504"/>
          <w:tab w:val="center" w:pos="4677"/>
        </w:tabs>
        <w:jc w:val="both"/>
        <w:rPr>
          <w:rFonts w:ascii="Times New Roman" w:hAnsi="Times New Roman"/>
          <w:sz w:val="24"/>
        </w:rPr>
      </w:pPr>
    </w:p>
    <w:p w:rsidR="004E129E" w:rsidRDefault="004E129E">
      <w:pPr>
        <w:sectPr w:rsidR="004E129E">
          <w:headerReference w:type="default" r:id="rId8"/>
          <w:pgSz w:w="11906" w:h="16838"/>
          <w:pgMar w:top="1134" w:right="851" w:bottom="1134" w:left="993" w:header="709" w:footer="709" w:gutter="0"/>
          <w:pgNumType w:start="1"/>
          <w:cols w:space="720"/>
          <w:titlePg/>
        </w:sectPr>
      </w:pPr>
    </w:p>
    <w:p w:rsidR="004E129E" w:rsidRDefault="00785246">
      <w:pPr>
        <w:pStyle w:val="1"/>
        <w:spacing w:after="240"/>
        <w:ind w:left="709" w:hanging="709"/>
      </w:pPr>
      <w:r>
        <w:t xml:space="preserve">Сведения о порядке сбора информации и методике расчета плановых значений целевых индикаторов ведомственной целевой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1"/>
        <w:gridCol w:w="1275"/>
        <w:gridCol w:w="3502"/>
        <w:gridCol w:w="5772"/>
      </w:tblGrid>
      <w:tr w:rsidR="004E129E">
        <w:trPr>
          <w:trHeight w:val="645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целевого показателя или индикатора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</w:t>
            </w:r>
            <w:r>
              <w:rPr>
                <w:rFonts w:ascii="Times New Roman" w:hAnsi="Times New Roman"/>
                <w:b/>
              </w:rPr>
              <w:t>ка определения значения показателя</w:t>
            </w:r>
          </w:p>
        </w:tc>
        <w:tc>
          <w:tcPr>
            <w:tcW w:w="5772" w:type="dxa"/>
            <w:shd w:val="clear" w:color="auto" w:fill="D9D9D9" w:themeFill="background1" w:themeFillShade="D9"/>
            <w:vAlign w:val="center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Исходные данные для определения (расчета)</w:t>
            </w:r>
          </w:p>
        </w:tc>
      </w:tr>
      <w:tr w:rsidR="004E129E">
        <w:tc>
          <w:tcPr>
            <w:tcW w:w="4011" w:type="dxa"/>
          </w:tcPr>
          <w:p w:rsidR="004E129E" w:rsidRDefault="00785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показателей, обрабатываемых в централизованном банке данных информационно – аналитической системы регулирования на транспорте (АСУ ТК), характеризующих состояние </w:t>
            </w:r>
            <w:r>
              <w:rPr>
                <w:rFonts w:ascii="Times New Roman" w:hAnsi="Times New Roman"/>
              </w:rPr>
              <w:t>транспортной системы</w:t>
            </w:r>
          </w:p>
        </w:tc>
        <w:tc>
          <w:tcPr>
            <w:tcW w:w="1275" w:type="dxa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3502" w:type="dxa"/>
          </w:tcPr>
          <w:p w:rsidR="004E129E" w:rsidRDefault="007852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 на конец отчетного периода как значение фактического количества показателей, обрабатываемых в централизованном банке данных информационно – аналитической системы регулирования на транспорте (АСУ ТК), характеризующи</w:t>
            </w:r>
            <w:r>
              <w:rPr>
                <w:rFonts w:ascii="Times New Roman" w:hAnsi="Times New Roman"/>
              </w:rPr>
              <w:t>х состояние транспортной системы.</w:t>
            </w:r>
          </w:p>
          <w:p w:rsidR="004E129E" w:rsidRDefault="007852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рассчитывается нарастающим итогом по всем годам реализации.</w:t>
            </w:r>
          </w:p>
        </w:tc>
        <w:tc>
          <w:tcPr>
            <w:tcW w:w="577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 путем запроса к информационно – аналитической системе регулирования на транспорте (АСУ ТК).</w:t>
            </w:r>
          </w:p>
        </w:tc>
      </w:tr>
      <w:tr w:rsidR="004E129E">
        <w:tc>
          <w:tcPr>
            <w:tcW w:w="4011" w:type="dxa"/>
          </w:tcPr>
          <w:p w:rsidR="004E129E" w:rsidRDefault="00785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субъектов транспортной </w:t>
            </w:r>
            <w:r>
              <w:rPr>
                <w:rFonts w:ascii="Times New Roman" w:hAnsi="Times New Roman"/>
              </w:rPr>
              <w:t>деятельности, подключенных к единому защищенному закрытому информационному пространству в сфере обеспечения безопасности населения на транспорте</w:t>
            </w:r>
          </w:p>
          <w:p w:rsidR="004E129E" w:rsidRDefault="004E12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3502" w:type="dxa"/>
          </w:tcPr>
          <w:p w:rsidR="004E129E" w:rsidRDefault="007852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 на конец отчетного периода как значение фактического количества субъектов транспортной де</w:t>
            </w:r>
            <w:r>
              <w:rPr>
                <w:rFonts w:ascii="Times New Roman" w:hAnsi="Times New Roman"/>
              </w:rPr>
              <w:t>ятельности, подключенных к единому защищенному закрытому информационному пространству в сфере обеспечения безопасности населения на транспорте (Единой государственной информационной системы обеспечения транспортной безопасности /ЕГИС ОТБ/ и Системы сбора р</w:t>
            </w:r>
            <w:r>
              <w:rPr>
                <w:rFonts w:ascii="Times New Roman" w:hAnsi="Times New Roman"/>
              </w:rPr>
              <w:t>езультатов технического мониторинга и контроля объектов транспортной инфраструктуры /СС ТМК/).</w:t>
            </w:r>
          </w:p>
          <w:p w:rsidR="004E129E" w:rsidRDefault="007852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рассчитывается нарастающим итогом по всем годам реализации.</w:t>
            </w:r>
          </w:p>
        </w:tc>
        <w:tc>
          <w:tcPr>
            <w:tcW w:w="577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 на основании данных систем ЕГИС ОТБ и СС ТМК по количеству зарегистрированных</w:t>
            </w:r>
            <w:r>
              <w:rPr>
                <w:rFonts w:ascii="Times New Roman" w:hAnsi="Times New Roman"/>
              </w:rPr>
              <w:t xml:space="preserve"> субъектов транспортной инфраструктуры, а также количеству заключенных соглашений об информационном взаимодействии, актов подключений.</w:t>
            </w:r>
          </w:p>
        </w:tc>
      </w:tr>
      <w:tr w:rsidR="004E129E">
        <w:tc>
          <w:tcPr>
            <w:tcW w:w="4011" w:type="dxa"/>
          </w:tcPr>
          <w:p w:rsidR="004E129E" w:rsidRDefault="00785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бесперебойной работы АСУ ТК</w:t>
            </w:r>
          </w:p>
        </w:tc>
        <w:tc>
          <w:tcPr>
            <w:tcW w:w="1275" w:type="dxa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350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Определяется на конец отчетного периода процентным методом по формуле: </w:t>
            </w:r>
            <w:r>
              <w:rPr>
                <w:rFonts w:ascii="Times New Roman" w:hAnsi="Times New Roman"/>
              </w:rPr>
              <w:t>(В — П)/ В × 100 %, где: В – время в ч., прошедшее с предыдущей даты контроля за исключением времени, затраченного на плановые простои Главного центра обмена данными (ГЦОД) АСУ ТК;</w:t>
            </w:r>
          </w:p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– время незапланированных простоев ГЦОД АСУ ТК в часах, либо функциониров</w:t>
            </w:r>
            <w:r>
              <w:rPr>
                <w:rFonts w:ascii="Times New Roman" w:hAnsi="Times New Roman"/>
              </w:rPr>
              <w:t xml:space="preserve">ания при ненормальных показателях (в аварийном режиме). </w:t>
            </w:r>
          </w:p>
        </w:tc>
        <w:tc>
          <w:tcPr>
            <w:tcW w:w="577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 на основании данных системы мониторинга функционирования оборудования ГЦОД АСУ ТК.</w:t>
            </w:r>
          </w:p>
        </w:tc>
      </w:tr>
      <w:tr w:rsidR="004E129E">
        <w:tc>
          <w:tcPr>
            <w:tcW w:w="4011" w:type="dxa"/>
          </w:tcPr>
          <w:p w:rsidR="004E129E" w:rsidRDefault="00785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активных прикладных пользователей АСУ ТК</w:t>
            </w:r>
          </w:p>
        </w:tc>
        <w:tc>
          <w:tcPr>
            <w:tcW w:w="1275" w:type="dxa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350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Определяется на конец отчетного периода как </w:t>
            </w:r>
            <w:r>
              <w:rPr>
                <w:rFonts w:ascii="Times New Roman" w:hAnsi="Times New Roman"/>
              </w:rPr>
              <w:t>значение фактического количества активных пользователей АСУ ТК</w:t>
            </w:r>
          </w:p>
          <w:p w:rsidR="004E129E" w:rsidRDefault="004E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29E" w:rsidRDefault="007852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рассчитывается нарастающим итогом по всем годам реализации. </w:t>
            </w:r>
          </w:p>
        </w:tc>
        <w:tc>
          <w:tcPr>
            <w:tcW w:w="577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 путем запроса к системе регистрации и учета пользователей АСУ ТК.</w:t>
            </w:r>
          </w:p>
        </w:tc>
      </w:tr>
      <w:tr w:rsidR="004E129E">
        <w:tc>
          <w:tcPr>
            <w:tcW w:w="4011" w:type="dxa"/>
          </w:tcPr>
          <w:p w:rsidR="004E129E" w:rsidRDefault="00785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сквозных процессов деятельнос</w:t>
            </w:r>
            <w:r>
              <w:rPr>
                <w:rFonts w:ascii="Times New Roman" w:hAnsi="Times New Roman"/>
              </w:rPr>
              <w:t>ти органов управления транспортным комплексом, реализуемых в цифровой форме</w:t>
            </w:r>
          </w:p>
        </w:tc>
        <w:tc>
          <w:tcPr>
            <w:tcW w:w="1275" w:type="dxa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350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 на конец отчетного периода как значение фактического количества сквозных процессов деятельности, автоматизируемых прикладными компонентами программного обеспеч</w:t>
            </w:r>
            <w:r>
              <w:rPr>
                <w:rFonts w:ascii="Times New Roman" w:hAnsi="Times New Roman"/>
              </w:rPr>
              <w:t xml:space="preserve">ения АСУ ТК, находящимися в стадии эксплуатации. </w:t>
            </w:r>
          </w:p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Сквозным процессом деятельности является процесс, в реализации которого задействованы более трех организационных уровней.</w:t>
            </w:r>
          </w:p>
          <w:p w:rsidR="004E129E" w:rsidRDefault="004E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рассчитывается нарастающим итогом по всем годам реализации.</w:t>
            </w:r>
          </w:p>
        </w:tc>
        <w:tc>
          <w:tcPr>
            <w:tcW w:w="577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</w:t>
            </w:r>
            <w:r>
              <w:rPr>
                <w:rFonts w:ascii="Times New Roman" w:hAnsi="Times New Roman"/>
              </w:rPr>
              <w:t xml:space="preserve"> на основании организационных регламентов работы пользователей с инструментарием АСУ ТК, введенных в действие на дату контроля.</w:t>
            </w:r>
          </w:p>
        </w:tc>
      </w:tr>
      <w:tr w:rsidR="004E129E">
        <w:tc>
          <w:tcPr>
            <w:tcW w:w="4011" w:type="dxa"/>
          </w:tcPr>
          <w:p w:rsidR="004E129E" w:rsidRDefault="00785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подключенных к АСУ ТК субъектов Российской Федерации и их информационных источников</w:t>
            </w:r>
          </w:p>
        </w:tc>
        <w:tc>
          <w:tcPr>
            <w:tcW w:w="1275" w:type="dxa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350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 на конец от</w:t>
            </w:r>
            <w:r>
              <w:rPr>
                <w:rFonts w:ascii="Times New Roman" w:hAnsi="Times New Roman"/>
              </w:rPr>
              <w:t>четного периода как сумма значений фактического количества введенных в действие регламентов информационного взаимодействия АСУ ТК с внешними источниками данных и функционирующих специализированных процедур загрузки данных из открытых источников через подси</w:t>
            </w:r>
            <w:r>
              <w:rPr>
                <w:rFonts w:ascii="Times New Roman" w:hAnsi="Times New Roman"/>
              </w:rPr>
              <w:t>стему информационного взаимодействия (П-ИВ).</w:t>
            </w:r>
          </w:p>
          <w:p w:rsidR="004E129E" w:rsidRDefault="004E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рассчитывается нарастающим итогом по всем годам реализации.</w:t>
            </w:r>
          </w:p>
        </w:tc>
        <w:tc>
          <w:tcPr>
            <w:tcW w:w="577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Определяется на основании реестра регламентов информационного взаимодействия и журнала процедур загрузки данных подсистемы информационного </w:t>
            </w:r>
            <w:r>
              <w:rPr>
                <w:rFonts w:ascii="Times New Roman" w:hAnsi="Times New Roman"/>
              </w:rPr>
              <w:t>взаимодействия.</w:t>
            </w:r>
          </w:p>
        </w:tc>
      </w:tr>
      <w:tr w:rsidR="004E129E">
        <w:trPr>
          <w:trHeight w:val="4445"/>
        </w:trPr>
        <w:tc>
          <w:tcPr>
            <w:tcW w:w="4011" w:type="dxa"/>
          </w:tcPr>
          <w:p w:rsidR="004E129E" w:rsidRDefault="00785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инфраструктурных проектов в сфере транспорта, реализуемых с привлечением государственного финансирования, подготовка и/или реализация которых осуществляется с использованием системы эффективного транспортного планирования в сост</w:t>
            </w:r>
            <w:r>
              <w:rPr>
                <w:rFonts w:ascii="Times New Roman" w:hAnsi="Times New Roman"/>
              </w:rPr>
              <w:t>аве АСУ ТК</w:t>
            </w:r>
          </w:p>
        </w:tc>
        <w:tc>
          <w:tcPr>
            <w:tcW w:w="1275" w:type="dxa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350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Определяется на конец отчетного периода как процентное отношение общего количества проектов в сфере транспорта, реализуемых с привлечением государственного финансирования (далее – проекты), к количеству проектов, по которым проведены </w:t>
            </w:r>
            <w:r>
              <w:rPr>
                <w:rFonts w:ascii="Times New Roman" w:hAnsi="Times New Roman"/>
              </w:rPr>
              <w:t>модельные расчеты с использованием инструментария функциональной задачи «Моделирование транспортных потоков» из состава АСУ ТК.</w:t>
            </w:r>
          </w:p>
          <w:p w:rsidR="004E129E" w:rsidRDefault="004E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рассчитывается нарастающим итогом по всем годам реализации.</w:t>
            </w:r>
          </w:p>
        </w:tc>
        <w:tc>
          <w:tcPr>
            <w:tcW w:w="577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проектов определяется на основании дейс</w:t>
            </w:r>
            <w:r>
              <w:rPr>
                <w:rFonts w:ascii="Times New Roman" w:hAnsi="Times New Roman"/>
              </w:rPr>
              <w:t>твующей редакции Государственной программы «Развитие транспортной системы».</w:t>
            </w:r>
          </w:p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проектов, по которым проведены модельные расчеты с использованием инструментария функциональной задачи «Моделирование транспортных потоков» из состава АСУ ТК определяетс</w:t>
            </w:r>
            <w:r>
              <w:rPr>
                <w:rFonts w:ascii="Times New Roman" w:hAnsi="Times New Roman"/>
              </w:rPr>
              <w:t>я по количеству выданных по результатам расчетов заключений.</w:t>
            </w:r>
          </w:p>
        </w:tc>
      </w:tr>
      <w:tr w:rsidR="004E129E">
        <w:tc>
          <w:tcPr>
            <w:tcW w:w="4011" w:type="dxa"/>
          </w:tcPr>
          <w:p w:rsidR="004E129E" w:rsidRDefault="00785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автоматизированных государственных функций по направлению обеспечения транспортной безопасности за счет создания дополнительных функциональных подсистем ЕГИС ОТБ, обеспечивающих инфор</w:t>
            </w:r>
            <w:r>
              <w:rPr>
                <w:rFonts w:ascii="Times New Roman" w:hAnsi="Times New Roman"/>
              </w:rPr>
              <w:t>мационную поддержку процессов и мероприятий в области обеспечения транспортной безопасности уполномоченным представителям органов исполнительной власти</w:t>
            </w:r>
          </w:p>
        </w:tc>
        <w:tc>
          <w:tcPr>
            <w:tcW w:w="1275" w:type="dxa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3502" w:type="dxa"/>
          </w:tcPr>
          <w:p w:rsidR="004E129E" w:rsidRDefault="007852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 на конец отчетного периода как значение фактического количества реализованных автом</w:t>
            </w:r>
            <w:r>
              <w:rPr>
                <w:rFonts w:ascii="Times New Roman" w:hAnsi="Times New Roman"/>
              </w:rPr>
              <w:t>атизированных государственных функций по направлению обеспечения транспортной безопасности функционалом ЕГИС ОТБ.</w:t>
            </w:r>
          </w:p>
          <w:p w:rsidR="004E129E" w:rsidRDefault="007852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рассчитывается нарастающим итогом по всем годам реализации.</w:t>
            </w:r>
          </w:p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качестве госфункций, оказываемых ФОИВ, подлежащих автоматизации с исп</w:t>
            </w:r>
            <w:r>
              <w:rPr>
                <w:rFonts w:ascii="Times New Roman" w:hAnsi="Times New Roman"/>
              </w:rPr>
              <w:t>ользованием ресурсов ЕГИС ОТБ являются: аккредитация и ведение реестра специализированных организаций в области транспортной безопасности; категорирование объектов транспортной инфраструктуры (ОТИ) и транспортных средств (ТС); ведение реестра категорирован</w:t>
            </w:r>
            <w:r>
              <w:rPr>
                <w:rFonts w:ascii="Times New Roman" w:hAnsi="Times New Roman"/>
              </w:rPr>
              <w:t xml:space="preserve">ных ОТИ и ТС; утверждение результатов оценки уязвимости ОТИ и ТС; утверждение планов обеспечения транспортной безопасности ОТИ и ТС; ведение реестра органов аттестации; ведение реестра аттестующих организаций; ведение реестра аккредитованных подразделений </w:t>
            </w:r>
            <w:r>
              <w:rPr>
                <w:rFonts w:ascii="Times New Roman" w:hAnsi="Times New Roman"/>
              </w:rPr>
              <w:t>транспортной безопасности и т.п.</w:t>
            </w:r>
          </w:p>
          <w:p w:rsidR="004E129E" w:rsidRDefault="004E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7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Определяется на основании данных ЕГИС ОТБ </w:t>
            </w:r>
            <w:r>
              <w:br/>
            </w:r>
            <w:r>
              <w:rPr>
                <w:rFonts w:ascii="Times New Roman" w:hAnsi="Times New Roman"/>
              </w:rPr>
              <w:t>по количеству реализованных с помощью функционала данной системы автоматизированных государственных функций по направлению обеспечения транспортной безопасности, а также актов сдачи работ в части реализации сервисов в рамках мероприятия «Развитие единой го</w:t>
            </w:r>
            <w:r>
              <w:rPr>
                <w:rFonts w:ascii="Times New Roman" w:hAnsi="Times New Roman"/>
              </w:rPr>
              <w:t xml:space="preserve">сударственной информационной системы обеспечения транспортной безопасности, включая автоматизированные централизованные базы персональных данных </w:t>
            </w:r>
            <w:r>
              <w:br/>
            </w:r>
            <w:r>
              <w:rPr>
                <w:rFonts w:ascii="Times New Roman" w:hAnsi="Times New Roman"/>
              </w:rPr>
              <w:t>о пассажирах и персонале транспортных средств».</w:t>
            </w:r>
          </w:p>
          <w:p w:rsidR="004E129E" w:rsidRDefault="004E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29E">
        <w:tc>
          <w:tcPr>
            <w:tcW w:w="4011" w:type="dxa"/>
          </w:tcPr>
          <w:p w:rsidR="004E129E" w:rsidRDefault="007852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(поддержание) доступности сервисов и данных сист</w:t>
            </w:r>
            <w:r>
              <w:rPr>
                <w:rFonts w:ascii="Times New Roman" w:hAnsi="Times New Roman"/>
              </w:rPr>
              <w:t>ем информационного обеспечения безопасности населения на транспорте для осуществления функций в области обеспечения транспортной безопасности и безопасности населения на транспорте федеральным органам исполнительной власти, уполномоченным Правительством Ро</w:t>
            </w:r>
            <w:r>
              <w:rPr>
                <w:rFonts w:ascii="Times New Roman" w:hAnsi="Times New Roman"/>
              </w:rPr>
              <w:t>ссийской Федерации</w:t>
            </w:r>
          </w:p>
        </w:tc>
        <w:tc>
          <w:tcPr>
            <w:tcW w:w="1275" w:type="dxa"/>
          </w:tcPr>
          <w:p w:rsidR="004E129E" w:rsidRDefault="00785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3502" w:type="dxa"/>
          </w:tcPr>
          <w:p w:rsidR="004E129E" w:rsidRDefault="007852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Определяется на конец отчетного периода процентным методом по формуле: Доступность = ((«возможное время доступности сервисов и данных системы» – «время отсутствия доступности сервисов и данных системы») /  «возможное время доступ</w:t>
            </w:r>
            <w:r>
              <w:rPr>
                <w:rFonts w:ascii="Times New Roman" w:hAnsi="Times New Roman"/>
              </w:rPr>
              <w:t>ности сервисов и данных системы») Х 100%.</w:t>
            </w:r>
          </w:p>
          <w:p w:rsidR="004E129E" w:rsidRDefault="007852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этом, Доступность ровна отношению разницы возможного времени доступности сервисов и данных системы и времени отсутствия доступности, к возможному времени доступности сервисов и данных системы. </w:t>
            </w:r>
          </w:p>
        </w:tc>
        <w:tc>
          <w:tcPr>
            <w:tcW w:w="5772" w:type="dxa"/>
          </w:tcPr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«Возможное время</w:t>
            </w:r>
            <w:r>
              <w:rPr>
                <w:rFonts w:ascii="Times New Roman" w:hAnsi="Times New Roman"/>
              </w:rPr>
              <w:t xml:space="preserve"> доступности сервисов и данных системы» рассчитывается как суммарное время  всех программно – технических комплексов (ПТК) системы информационного обеспечения безопасности населения </w:t>
            </w:r>
            <w:r>
              <w:br/>
            </w:r>
            <w:r>
              <w:rPr>
                <w:rFonts w:ascii="Times New Roman" w:hAnsi="Times New Roman"/>
              </w:rPr>
              <w:t>на транспорте.  Значение параметра ровно календарному периоду времени в м</w:t>
            </w:r>
            <w:r>
              <w:rPr>
                <w:rFonts w:ascii="Times New Roman" w:hAnsi="Times New Roman"/>
              </w:rPr>
              <w:t>инутах, за отчетный период.</w:t>
            </w:r>
          </w:p>
          <w:p w:rsidR="004E129E" w:rsidRDefault="004E12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29E" w:rsidRDefault="007852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«Время отсутствия доступности сервисов и данных системы» рассчитывается как суммарное время  всех ПТК системы информационного обеспечения безопасности населения на транспорте. Значение параметра соответствует периоду времени в </w:t>
            </w:r>
            <w:r>
              <w:rPr>
                <w:rFonts w:ascii="Times New Roman" w:hAnsi="Times New Roman"/>
              </w:rPr>
              <w:t>минутах, в течение которого за отчетный период, согласно учетным записям инцидентов в информационной системе TIVOLY, ПТК находились в нерабочем состоянии, по причине аварии/сбоя ресурсов ПТК.</w:t>
            </w:r>
          </w:p>
        </w:tc>
      </w:tr>
    </w:tbl>
    <w:p w:rsidR="004E129E" w:rsidRDefault="004E129E">
      <w:pPr>
        <w:pStyle w:val="consplusnormal1"/>
        <w:spacing w:after="0"/>
        <w:ind w:firstLine="709"/>
        <w:jc w:val="both"/>
        <w:rPr>
          <w:sz w:val="28"/>
        </w:rPr>
      </w:pPr>
    </w:p>
    <w:sectPr w:rsidR="004E129E">
      <w:headerReference w:type="default" r:id="rId9"/>
      <w:headerReference w:type="first" r:id="rId10"/>
      <w:pgSz w:w="16838" w:h="11906"/>
      <w:pgMar w:top="993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5246">
      <w:pPr>
        <w:spacing w:after="0" w:line="240" w:lineRule="auto"/>
      </w:pPr>
      <w:r>
        <w:separator/>
      </w:r>
    </w:p>
  </w:endnote>
  <w:endnote w:type="continuationSeparator" w:id="0">
    <w:p w:rsidR="00000000" w:rsidRDefault="0078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5246">
      <w:pPr>
        <w:spacing w:after="0" w:line="240" w:lineRule="auto"/>
      </w:pPr>
      <w:r>
        <w:separator/>
      </w:r>
    </w:p>
  </w:footnote>
  <w:footnote w:type="continuationSeparator" w:id="0">
    <w:p w:rsidR="00000000" w:rsidRDefault="0078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9E" w:rsidRDefault="00785246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2</w:t>
    </w:r>
    <w:r>
      <w:fldChar w:fldCharType="end"/>
    </w:r>
  </w:p>
  <w:p w:rsidR="004E129E" w:rsidRDefault="004E129E">
    <w:pPr>
      <w:pStyle w:val="afa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9E" w:rsidRDefault="00785246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13</w:t>
    </w:r>
    <w:r>
      <w:fldChar w:fldCharType="end"/>
    </w:r>
  </w:p>
  <w:p w:rsidR="004E129E" w:rsidRDefault="004E129E">
    <w:pPr>
      <w:pStyle w:val="afa"/>
      <w:jc w:val="right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9E" w:rsidRDefault="00785246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9</w:t>
    </w:r>
    <w:r>
      <w:fldChar w:fldCharType="end"/>
    </w:r>
  </w:p>
  <w:p w:rsidR="004E129E" w:rsidRDefault="004E12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237D"/>
    <w:multiLevelType w:val="multilevel"/>
    <w:tmpl w:val="7686866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3475E2B"/>
    <w:multiLevelType w:val="multilevel"/>
    <w:tmpl w:val="CC38F790"/>
    <w:lvl w:ilvl="0">
      <w:start w:val="1"/>
      <w:numFmt w:val="upperRoman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E"/>
    <w:rsid w:val="004E129E"/>
    <w:rsid w:val="007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769F-C9A2-4399-BD16-54716202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numPr>
        <w:numId w:val="2"/>
      </w:numPr>
      <w:spacing w:before="240" w:after="12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2"/>
    </w:rPr>
  </w:style>
  <w:style w:type="paragraph" w:styleId="a3">
    <w:name w:val="Normal (Web)"/>
    <w:basedOn w:val="a"/>
    <w:link w:val="a4"/>
    <w:pPr>
      <w:spacing w:beforeAutospacing="1" w:afterAutospacing="1" w:line="240" w:lineRule="auto"/>
      <w:ind w:firstLine="300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0"/>
    <w:link w:val="a3"/>
    <w:rPr>
      <w:rFonts w:ascii="Times New Roman" w:hAnsi="Times New Roman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a7">
    <w:name w:val="annotation subject"/>
    <w:basedOn w:val="a8"/>
    <w:next w:val="a8"/>
    <w:link w:val="a9"/>
    <w:rPr>
      <w:b/>
    </w:rPr>
  </w:style>
  <w:style w:type="character" w:customStyle="1" w:styleId="a9">
    <w:name w:val="Тема примечания Знак"/>
    <w:basedOn w:val="aa"/>
    <w:link w:val="a7"/>
    <w:rPr>
      <w:b/>
      <w:sz w:val="20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2">
    <w:name w:val="Обычный1"/>
    <w:link w:val="13"/>
    <w:rPr>
      <w:sz w:val="22"/>
    </w:rPr>
  </w:style>
  <w:style w:type="character" w:customStyle="1" w:styleId="13">
    <w:name w:val="Обычный1"/>
    <w:link w:val="12"/>
    <w:rPr>
      <w:sz w:val="22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14">
    <w:name w:val="Знак примечания1"/>
    <w:basedOn w:val="15"/>
    <w:link w:val="16"/>
    <w:rPr>
      <w:sz w:val="16"/>
    </w:rPr>
  </w:style>
  <w:style w:type="character" w:customStyle="1" w:styleId="16">
    <w:name w:val="Знак примечания1"/>
    <w:basedOn w:val="17"/>
    <w:link w:val="14"/>
    <w:rPr>
      <w:sz w:val="16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33">
    <w:name w:val="toc 3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b">
    <w:name w:val="List Paragraph"/>
    <w:basedOn w:val="a"/>
    <w:link w:val="ac"/>
    <w:pPr>
      <w:spacing w:before="120" w:after="0"/>
      <w:ind w:left="708" w:firstLine="709"/>
      <w:jc w:val="both"/>
    </w:pPr>
    <w:rPr>
      <w:rFonts w:ascii="Times New Roman" w:hAnsi="Times New Roman"/>
      <w:sz w:val="24"/>
    </w:rPr>
  </w:style>
  <w:style w:type="character" w:customStyle="1" w:styleId="ac">
    <w:name w:val="Абзац списка Знак"/>
    <w:basedOn w:val="10"/>
    <w:link w:val="ab"/>
    <w:rPr>
      <w:rFonts w:ascii="Times New Roman" w:hAnsi="Times New Roman"/>
      <w:sz w:val="24"/>
    </w:rPr>
  </w:style>
  <w:style w:type="paragraph" w:customStyle="1" w:styleId="18">
    <w:name w:val="Обычный1"/>
    <w:link w:val="19"/>
    <w:rPr>
      <w:sz w:val="22"/>
    </w:rPr>
  </w:style>
  <w:style w:type="character" w:customStyle="1" w:styleId="19">
    <w:name w:val="Обычный1"/>
    <w:link w:val="18"/>
    <w:rPr>
      <w:sz w:val="22"/>
    </w:rPr>
  </w:style>
  <w:style w:type="paragraph" w:customStyle="1" w:styleId="consplusnormal1">
    <w:name w:val="consplusnormal"/>
    <w:basedOn w:val="a"/>
    <w:link w:val="consplusnormal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2">
    <w:name w:val="consplusnormal"/>
    <w:basedOn w:val="10"/>
    <w:link w:val="consplusnormal1"/>
    <w:rPr>
      <w:rFonts w:ascii="Times New Roman" w:hAnsi="Times New Roman"/>
      <w:sz w:val="24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a">
    <w:name w:val="Обычный1"/>
    <w:link w:val="1b"/>
    <w:rPr>
      <w:sz w:val="22"/>
    </w:rPr>
  </w:style>
  <w:style w:type="character" w:customStyle="1" w:styleId="1b">
    <w:name w:val="Обычный1"/>
    <w:link w:val="1a"/>
    <w:rPr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0"/>
    <w:link w:val="ad"/>
    <w:rPr>
      <w:rFonts w:ascii="Tahoma" w:hAnsi="Tahoma"/>
      <w:sz w:val="16"/>
    </w:rPr>
  </w:style>
  <w:style w:type="character" w:customStyle="1" w:styleId="50">
    <w:name w:val="Заголовок 5 Знак"/>
    <w:basedOn w:val="10"/>
    <w:link w:val="5"/>
    <w:rPr>
      <w:rFonts w:asciiTheme="majorHAnsi"/>
      <w:color w:val="243F60" w:themeColor="accent1" w:themeShade="7F"/>
      <w:sz w:val="22"/>
    </w:rPr>
  </w:style>
  <w:style w:type="paragraph" w:customStyle="1" w:styleId="43">
    <w:name w:val="Основной шрифт абзаца4"/>
    <w:link w:val="1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sz w:val="28"/>
    </w:rPr>
  </w:style>
  <w:style w:type="paragraph" w:customStyle="1" w:styleId="1c">
    <w:name w:val="Гиперссылка1"/>
    <w:link w:val="af"/>
    <w:rPr>
      <w:color w:val="0000FF"/>
      <w:u w:val="single"/>
    </w:rPr>
  </w:style>
  <w:style w:type="character" w:styleId="a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paragraph" w:styleId="1d">
    <w:name w:val="toc 1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1f1">
    <w:name w:val="Гиперссылка1"/>
    <w:link w:val="1f2"/>
    <w:rPr>
      <w:rFonts w:ascii="Arial" w:hAnsi="Arial"/>
      <w:color w:val="28458F"/>
      <w:sz w:val="18"/>
      <w:u w:val="single"/>
    </w:rPr>
  </w:style>
  <w:style w:type="character" w:customStyle="1" w:styleId="1f2">
    <w:name w:val="Гиперссылка1"/>
    <w:link w:val="1f1"/>
    <w:rPr>
      <w:rFonts w:ascii="Arial" w:hAnsi="Arial"/>
      <w:color w:val="28458F"/>
      <w:sz w:val="18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RLHNormal">
    <w:name w:val="RLH_Normal"/>
    <w:basedOn w:val="a"/>
    <w:link w:val="RLHNormal0"/>
    <w:pPr>
      <w:spacing w:before="120" w:after="120" w:line="288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RLHNormal0">
    <w:name w:val="RLH_Normal"/>
    <w:basedOn w:val="10"/>
    <w:link w:val="RLHNormal"/>
    <w:rPr>
      <w:rFonts w:ascii="Times New Roman" w:hAnsi="Times New Roman"/>
      <w:sz w:val="24"/>
    </w:rPr>
  </w:style>
  <w:style w:type="paragraph" w:styleId="af0">
    <w:name w:val="Body Text"/>
    <w:basedOn w:val="a"/>
    <w:link w:val="af1"/>
    <w:pPr>
      <w:spacing w:after="0"/>
      <w:jc w:val="both"/>
    </w:pPr>
    <w:rPr>
      <w:rFonts w:ascii="Times New Roman" w:hAnsi="Times New Roman"/>
      <w:sz w:val="28"/>
    </w:rPr>
  </w:style>
  <w:style w:type="character" w:customStyle="1" w:styleId="af1">
    <w:name w:val="Основной текст Знак"/>
    <w:basedOn w:val="10"/>
    <w:link w:val="af0"/>
    <w:rPr>
      <w:rFonts w:ascii="Times New Roman" w:hAnsi="Times New Roman"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0"/>
    <w:link w:val="af2"/>
    <w:rPr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f4">
    <w:name w:val="caption"/>
    <w:basedOn w:val="a"/>
    <w:next w:val="a"/>
    <w:link w:val="af5"/>
    <w:rPr>
      <w:b/>
      <w:sz w:val="20"/>
    </w:rPr>
  </w:style>
  <w:style w:type="character" w:customStyle="1" w:styleId="af5">
    <w:name w:val="Название объекта Знак"/>
    <w:basedOn w:val="10"/>
    <w:link w:val="af4"/>
    <w:rPr>
      <w:b/>
      <w:sz w:val="2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5">
    <w:name w:val="Обычный1"/>
    <w:link w:val="1f6"/>
    <w:rPr>
      <w:sz w:val="22"/>
    </w:rPr>
  </w:style>
  <w:style w:type="character" w:customStyle="1" w:styleId="1f6">
    <w:name w:val="Обычный1"/>
    <w:link w:val="1f5"/>
    <w:rPr>
      <w:sz w:val="22"/>
    </w:rPr>
  </w:style>
  <w:style w:type="paragraph" w:styleId="af6">
    <w:name w:val="Subtitle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1f7">
    <w:name w:val="Обычный1"/>
    <w:link w:val="1f8"/>
    <w:rPr>
      <w:sz w:val="22"/>
    </w:rPr>
  </w:style>
  <w:style w:type="character" w:customStyle="1" w:styleId="1f8">
    <w:name w:val="Обычный1"/>
    <w:link w:val="1f7"/>
    <w:rPr>
      <w:sz w:val="22"/>
    </w:rPr>
  </w:style>
  <w:style w:type="paragraph" w:customStyle="1" w:styleId="1f9">
    <w:name w:val="Знак сноски1"/>
    <w:basedOn w:val="15"/>
    <w:link w:val="1fa"/>
    <w:rPr>
      <w:vertAlign w:val="superscript"/>
    </w:rPr>
  </w:style>
  <w:style w:type="character" w:customStyle="1" w:styleId="1fa">
    <w:name w:val="Знак сноски1"/>
    <w:basedOn w:val="17"/>
    <w:link w:val="1f9"/>
    <w:rPr>
      <w:vertAlign w:val="superscript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10"/>
    <w:link w:val="afa"/>
    <w:rPr>
      <w:sz w:val="22"/>
    </w:rPr>
  </w:style>
  <w:style w:type="character" w:customStyle="1" w:styleId="20">
    <w:name w:val="Заголовок 2 Знак"/>
    <w:basedOn w:val="10"/>
    <w:link w:val="2"/>
    <w:rPr>
      <w:rFonts w:ascii="Cambria" w:hAnsi="Cambria"/>
      <w:b/>
      <w:i/>
      <w:sz w:val="28"/>
    </w:rPr>
  </w:style>
  <w:style w:type="paragraph" w:styleId="a8">
    <w:name w:val="annotation text"/>
    <w:basedOn w:val="a"/>
    <w:link w:val="aa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10"/>
    <w:link w:val="a8"/>
    <w:rPr>
      <w:sz w:val="20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.gov.ru/minec/activity/sections/macro/201801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</dc:creator>
  <cp:lastModifiedBy>Loran</cp:lastModifiedBy>
  <cp:revision>2</cp:revision>
  <dcterms:created xsi:type="dcterms:W3CDTF">2022-03-17T20:07:00Z</dcterms:created>
  <dcterms:modified xsi:type="dcterms:W3CDTF">2022-03-17T20:07:00Z</dcterms:modified>
</cp:coreProperties>
</file>